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88cc00"/>
          <w:sz w:val="30"/>
          <w:szCs w:val="30"/>
        </w:rPr>
      </w:pPr>
      <w:r w:rsidDel="00000000" w:rsidR="00000000" w:rsidRPr="00000000">
        <w:rPr>
          <w:b w:val="1"/>
          <w:color w:val="88cc00"/>
          <w:sz w:val="30"/>
          <w:szCs w:val="30"/>
          <w:rtl w:val="0"/>
        </w:rPr>
        <w:t xml:space="preserve">Green Cell wkracza do Francji i Włoch z własnym sklepem internetowym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Włosi i Francuzi mogą już kupić powerbanki, ładowarki czy kable marki Green Cell bezpośrednio u producenta. To kolejne europejskie rynki, na których firma uruchamia internetową sprzedaż akcesoriów do ładowania i magazynowania energii zaprojektowanych w Polsce.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Zakupy w sklepie internetowym Green Cell dostępne były dotąd w Polsce, Niemczech i Wielkiej Brytanii. Od 16 sierpnia 2023 roku producent znad Wisły wkracza ze sprzedażą bezpośrednią do Francji i Włoch, oferując szeroki asortyment akcesoriów do ładowania i akumulowania energii elektrycznej. W jego portfolio klienci znajdą m.in. wysokiej jakości powerbanki, ładowarki i kable do urządzeń mobilnych, a także baterie, magazyny energii czy urządzenia do ładowania samochodów elektrycznych. Wśród nich wyróżnioną nagrodą Red Dot Design mobilną ładowarkę Habu.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Polski Green Cell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Akcesoria Green Cell zdążyły już zyskać popularność na rynku francuskim i włoskim, ale dotąd oferowane były wyłącznie za pośrednictwem platform sprzedażowych. Korzystając ze sklepu internetowego Green Cell zyskają oni dostęp do pogłębionej informacji o produktach, rozbudowaną sekcję FAQ i bieżące wsparcie konsultantów.</w:t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- Kompleksowa obsługa klienta to z całą pewnością jedna z naszych przewag konkurencyjnych, o czym świadczą wysokie oceny i przychylne opinie tych, którzy z naszego sklepu internetowego już korzystają. Myśląc o wzroście Green Cell nie wyobrażam go sobie bez obecności na największych rynkach UE, stąd Francja i Włochy naturalnie stały się kolejnym krokiem na naszej drodze - komentuje Paweł Ochyński, założyciel Green Cell. 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Globalne ambicje Green Cell 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Sprzedaż produktów założonej w 2013 roku firmy Green Cell osiągnęła już poziom ok. 7,2 mln sztuk, a paczki z jej urządzeniami trafiają do klientów z 60 krajów na całym świecie. Spółka ma w planach poszerzyć zasięg działania sklepu internetowego o następne kraje, a także przenieść produkcję kolejnych urządzeń do Polski (obecnie pod Krakowem produkuje baterie do rowerów elektrycznych). </w:t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Green Cell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Producent rozwiązań do ładowania i magazynowania energii obecny na 60 światowych rynkach. Impulsem do rozwoju marki stała się niezawodność oferowanych od 2013 roku akcesoriów do mobilnej elektroniki. Obecnie w obszarze specjalizacji Green Cell znajdują się również energetyka odnawialna i elektromobilność.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Portfolio firmy zawiera 21 autorskich urządzeń zaprojektowanych przez własny dział R&amp;D. Green Cell zatrudnia łącznie 200 pracowników, większość w siedzibie firmy w Krakowie oraz fabryce baterii w Skawinie.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Więcej: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greencell.global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Kontakt: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media@greencell.pl</w:t>
        </w:r>
      </w:hyperlink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531 684 516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jc w:val="left"/>
      <w:rPr>
        <w:b w:val="1"/>
        <w:color w:val="88cc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center"/>
      <w:rPr>
        <w:b w:val="1"/>
        <w:color w:val="666666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widowControl w:val="0"/>
      <w:spacing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INFORMACJA PRASOWA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4095750</wp:posOffset>
          </wp:positionH>
          <wp:positionV relativeFrom="paragraph">
            <wp:posOffset>-190499</wp:posOffset>
          </wp:positionV>
          <wp:extent cx="1795463" cy="5636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5636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ageBreakBefore w:val="0"/>
      <w:widowControl w:val="0"/>
      <w:spacing w:line="240" w:lineRule="auto"/>
      <w:rPr>
        <w:b w:val="1"/>
        <w:color w:val="999999"/>
        <w:sz w:val="20"/>
        <w:szCs w:val="20"/>
      </w:rPr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16.08.2023 r.</w:t>
    </w:r>
  </w:p>
  <w:p w:rsidR="00000000" w:rsidDel="00000000" w:rsidP="00000000" w:rsidRDefault="00000000" w:rsidRPr="00000000" w14:paraId="00000019">
    <w:pPr>
      <w:pageBreakBefore w:val="0"/>
      <w:widowControl w:val="0"/>
      <w:spacing w:line="240" w:lineRule="auto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widowControl w:val="0"/>
      <w:spacing w:line="240" w:lineRule="auto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greencell.global/" TargetMode="External"/><Relationship Id="rId7" Type="http://schemas.openxmlformats.org/officeDocument/2006/relationships/hyperlink" Target="mailto:media@greencell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